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17" w:rsidRPr="007A46B6" w:rsidRDefault="00EE5E17" w:rsidP="00EE5E17">
      <w:pPr>
        <w:pStyle w:val="Default"/>
        <w:jc w:val="center"/>
        <w:outlineLvl w:val="0"/>
        <w:rPr>
          <w:rFonts w:asciiTheme="minorHAnsi" w:hAnsiTheme="minorHAnsi" w:cs="Arial"/>
          <w:sz w:val="36"/>
          <w:szCs w:val="36"/>
        </w:rPr>
      </w:pPr>
      <w:bookmarkStart w:id="0" w:name="_GoBack"/>
      <w:bookmarkEnd w:id="0"/>
      <w:r w:rsidRPr="007A46B6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529CBEC" wp14:editId="3F80F96C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581025" cy="80010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B6">
        <w:rPr>
          <w:rFonts w:asciiTheme="minorHAnsi" w:hAnsiTheme="minorHAnsi" w:cs="Arial"/>
          <w:b/>
          <w:bCs/>
          <w:sz w:val="36"/>
          <w:szCs w:val="36"/>
        </w:rPr>
        <w:t xml:space="preserve">Kym Adey </w:t>
      </w:r>
      <w:r>
        <w:rPr>
          <w:rFonts w:asciiTheme="minorHAnsi" w:hAnsiTheme="minorHAnsi" w:cs="Arial"/>
          <w:b/>
          <w:bCs/>
          <w:sz w:val="36"/>
          <w:szCs w:val="36"/>
        </w:rPr>
        <w:t xml:space="preserve">- </w:t>
      </w:r>
      <w:r w:rsidRPr="007A46B6">
        <w:rPr>
          <w:rFonts w:asciiTheme="minorHAnsi" w:hAnsiTheme="minorHAnsi" w:cs="Arial"/>
          <w:b/>
          <w:bCs/>
          <w:sz w:val="36"/>
          <w:szCs w:val="36"/>
        </w:rPr>
        <w:t>Catherine House</w:t>
      </w:r>
    </w:p>
    <w:p w:rsidR="00EE5E17" w:rsidRPr="007A46B6" w:rsidRDefault="00EE5E17" w:rsidP="00EE5E17">
      <w:pPr>
        <w:pStyle w:val="Default"/>
        <w:jc w:val="center"/>
        <w:outlineLvl w:val="0"/>
        <w:rPr>
          <w:rFonts w:asciiTheme="minorHAnsi" w:hAnsiTheme="minorHAnsi" w:cs="Arial"/>
          <w:sz w:val="36"/>
          <w:szCs w:val="36"/>
        </w:rPr>
      </w:pPr>
      <w:r w:rsidRPr="007A46B6">
        <w:rPr>
          <w:rFonts w:asciiTheme="minorHAnsi" w:hAnsiTheme="minorHAnsi" w:cs="Arial"/>
          <w:b/>
          <w:bCs/>
          <w:sz w:val="36"/>
          <w:szCs w:val="36"/>
        </w:rPr>
        <w:t>UniSA Scholarship</w:t>
      </w:r>
    </w:p>
    <w:p w:rsidR="00EE5E17" w:rsidRPr="007A46B6" w:rsidRDefault="00EE5E17" w:rsidP="00EE5E17">
      <w:pPr>
        <w:pStyle w:val="Default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t xml:space="preserve"> </w:t>
      </w:r>
    </w:p>
    <w:p w:rsidR="00EE5E17" w:rsidRPr="007A46B6" w:rsidRDefault="00EE5E17" w:rsidP="00EE5E17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EE5E17" w:rsidRPr="000A4403" w:rsidRDefault="00EE5E17" w:rsidP="00EE5E17">
      <w:pPr>
        <w:pStyle w:val="Default"/>
        <w:outlineLvl w:val="0"/>
        <w:rPr>
          <w:rFonts w:asciiTheme="minorHAnsi" w:hAnsiTheme="minorHAnsi" w:cs="Arial"/>
          <w:sz w:val="28"/>
          <w:szCs w:val="28"/>
        </w:rPr>
      </w:pPr>
      <w:r w:rsidRPr="000A4403">
        <w:rPr>
          <w:rFonts w:asciiTheme="minorHAnsi" w:hAnsiTheme="minorHAnsi" w:cs="Arial"/>
          <w:b/>
          <w:bCs/>
          <w:sz w:val="28"/>
          <w:szCs w:val="28"/>
        </w:rPr>
        <w:t xml:space="preserve">INFORMATION SHEET </w:t>
      </w:r>
    </w:p>
    <w:p w:rsidR="00EE5E17" w:rsidRPr="007A46B6" w:rsidRDefault="00EE5E17" w:rsidP="00EE5E17">
      <w:pPr>
        <w:pStyle w:val="Default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t xml:space="preserve"> </w:t>
      </w:r>
    </w:p>
    <w:p w:rsidR="00EE5E17" w:rsidRPr="007A46B6" w:rsidRDefault="00EE5E17" w:rsidP="00EE5E17">
      <w:pPr>
        <w:pStyle w:val="NormalWeb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7A46B6">
        <w:rPr>
          <w:rFonts w:asciiTheme="minorHAnsi" w:hAnsiTheme="minorHAnsi"/>
          <w:sz w:val="22"/>
          <w:szCs w:val="22"/>
        </w:rPr>
        <w:t xml:space="preserve">The Kym Adey Catherine House – University of South Australia (UniSA) scholarship has been established to support women from Catherine House to undertake further education at UniSA or UniSA College. Catherine House </w:t>
      </w:r>
      <w:r w:rsidRPr="007A46B6">
        <w:rPr>
          <w:rFonts w:asciiTheme="minorHAnsi" w:hAnsiTheme="minorHAnsi"/>
          <w:sz w:val="22"/>
          <w:szCs w:val="22"/>
          <w:lang w:val="en-US"/>
        </w:rPr>
        <w:t xml:space="preserve">provides supported accommodation and emergency housing to women over 18, unaccompanied by children, who are affected by homelessness.  </w:t>
      </w:r>
      <w:r w:rsidRPr="007A46B6">
        <w:rPr>
          <w:rFonts w:asciiTheme="minorHAnsi" w:hAnsiTheme="minorHAnsi"/>
          <w:sz w:val="22"/>
          <w:szCs w:val="22"/>
        </w:rPr>
        <w:t xml:space="preserve">Emeritus Professor Kym Adey has had a long and distinguished career in higher education and was a former Pro Vice Chancellor and Vice President at UniSA. </w:t>
      </w:r>
    </w:p>
    <w:p w:rsidR="00EE5E17" w:rsidRPr="007A46B6" w:rsidRDefault="00EE5E17" w:rsidP="00EE5E17">
      <w:pPr>
        <w:pStyle w:val="ListParagraph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color w:val="000000"/>
          <w:sz w:val="22"/>
          <w:szCs w:val="22"/>
        </w:rPr>
        <w:t>Applications are assessed in November / December each year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7A46B6">
        <w:rPr>
          <w:rFonts w:asciiTheme="minorHAnsi" w:hAnsiTheme="minorHAnsi" w:cs="Arial"/>
          <w:color w:val="000000"/>
          <w:sz w:val="22"/>
          <w:szCs w:val="22"/>
        </w:rPr>
        <w:t xml:space="preserve"> and shortlisted applicants are invited</w:t>
      </w:r>
      <w:r w:rsidRPr="007A46B6">
        <w:rPr>
          <w:rFonts w:asciiTheme="minorHAnsi" w:hAnsiTheme="minorHAnsi" w:cs="Arial"/>
          <w:sz w:val="22"/>
          <w:szCs w:val="22"/>
        </w:rPr>
        <w:t xml:space="preserve"> to attend an interview. The successful applicant will be given a conditional scholarship offer, subject to the recipient enrolling in a UniSA program.</w:t>
      </w:r>
    </w:p>
    <w:p w:rsidR="00EE5E17" w:rsidRPr="007A46B6" w:rsidRDefault="00EE5E17" w:rsidP="00EE5E17">
      <w:pPr>
        <w:pStyle w:val="Default"/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 </w:t>
      </w:r>
    </w:p>
    <w:p w:rsidR="00EE5E17" w:rsidRPr="007A46B6" w:rsidRDefault="00EE5E17" w:rsidP="00EE5E17">
      <w:pPr>
        <w:pStyle w:val="Default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7A46B6">
        <w:rPr>
          <w:rFonts w:asciiTheme="minorHAnsi" w:hAnsiTheme="minorHAnsi" w:cs="Arial"/>
          <w:b/>
          <w:bCs/>
          <w:sz w:val="22"/>
          <w:szCs w:val="22"/>
        </w:rPr>
        <w:t>Eligibility Criteria</w:t>
      </w:r>
    </w:p>
    <w:p w:rsidR="00EE5E17" w:rsidRPr="007A46B6" w:rsidRDefault="00EE5E17" w:rsidP="00EE5E17">
      <w:pPr>
        <w:pStyle w:val="Default"/>
        <w:rPr>
          <w:rFonts w:asciiTheme="minorHAnsi" w:hAnsiTheme="minorHAnsi"/>
          <w:sz w:val="22"/>
          <w:szCs w:val="22"/>
        </w:rPr>
      </w:pPr>
      <w:r w:rsidRPr="007A46B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A46B6">
        <w:rPr>
          <w:rFonts w:asciiTheme="minorHAnsi" w:hAnsiTheme="minorHAnsi" w:cs="Arial"/>
          <w:color w:val="1D1B11"/>
          <w:sz w:val="22"/>
          <w:szCs w:val="22"/>
        </w:rPr>
        <w:t>To be eligible for the scholarship a</w:t>
      </w:r>
      <w:r w:rsidRPr="007A46B6">
        <w:rPr>
          <w:rFonts w:asciiTheme="minorHAnsi" w:hAnsiTheme="minorHAnsi"/>
          <w:sz w:val="22"/>
          <w:szCs w:val="22"/>
        </w:rPr>
        <w:t>pplicants must have been</w:t>
      </w:r>
      <w:r>
        <w:rPr>
          <w:rFonts w:asciiTheme="minorHAnsi" w:hAnsiTheme="minorHAnsi"/>
          <w:sz w:val="22"/>
          <w:szCs w:val="22"/>
        </w:rPr>
        <w:t>:</w:t>
      </w:r>
    </w:p>
    <w:p w:rsidR="00EE5E17" w:rsidRPr="007A46B6" w:rsidRDefault="00EE5E17" w:rsidP="00EE5E17">
      <w:pPr>
        <w:pStyle w:val="Default"/>
        <w:outlineLvl w:val="0"/>
        <w:rPr>
          <w:rFonts w:asciiTheme="minorHAnsi" w:hAnsiTheme="minorHAnsi"/>
          <w:sz w:val="22"/>
          <w:szCs w:val="22"/>
        </w:rPr>
      </w:pPr>
    </w:p>
    <w:p w:rsidR="00EE5E17" w:rsidRPr="009A4EB9" w:rsidRDefault="00EE5E17" w:rsidP="00EE5E17">
      <w:pPr>
        <w:pStyle w:val="Comment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A4EB9">
        <w:rPr>
          <w:rFonts w:asciiTheme="minorHAnsi" w:hAnsiTheme="minorHAnsi"/>
          <w:sz w:val="22"/>
          <w:szCs w:val="22"/>
        </w:rPr>
        <w:t xml:space="preserve">A participant of the Catherine House Women’s Centre, </w:t>
      </w:r>
      <w:r w:rsidR="009A4EB9" w:rsidRPr="009A4EB9">
        <w:rPr>
          <w:rFonts w:asciiTheme="minorHAnsi" w:hAnsiTheme="minorHAnsi"/>
          <w:sz w:val="22"/>
          <w:szCs w:val="22"/>
        </w:rPr>
        <w:t xml:space="preserve">by </w:t>
      </w:r>
      <w:r w:rsidRPr="009A4EB9">
        <w:rPr>
          <w:rFonts w:asciiTheme="minorHAnsi" w:hAnsiTheme="minorHAnsi"/>
          <w:sz w:val="22"/>
          <w:szCs w:val="22"/>
        </w:rPr>
        <w:t xml:space="preserve">attending </w:t>
      </w:r>
      <w:r w:rsidR="009A4EB9">
        <w:rPr>
          <w:rFonts w:asciiTheme="minorHAnsi" w:hAnsiTheme="minorHAnsi"/>
          <w:sz w:val="22"/>
          <w:szCs w:val="22"/>
        </w:rPr>
        <w:t>an initial pathways interview with the Education Coach and subsequent fortnightly meetings for a minimum period of four months</w:t>
      </w:r>
      <w:r w:rsidR="00AF1C28">
        <w:rPr>
          <w:rFonts w:asciiTheme="minorHAnsi" w:hAnsiTheme="minorHAnsi"/>
          <w:sz w:val="22"/>
          <w:szCs w:val="22"/>
        </w:rPr>
        <w:t>, which will facilitate the applicant actively working on an</w:t>
      </w:r>
      <w:r w:rsidR="009A4EB9">
        <w:rPr>
          <w:rFonts w:asciiTheme="minorHAnsi" w:hAnsiTheme="minorHAnsi"/>
          <w:sz w:val="22"/>
          <w:szCs w:val="22"/>
        </w:rPr>
        <w:t xml:space="preserve"> education and employment pathway plan. </w:t>
      </w:r>
    </w:p>
    <w:p w:rsidR="001F493E" w:rsidRDefault="001F493E" w:rsidP="00385C4F">
      <w:pPr>
        <w:pStyle w:val="CommentText"/>
        <w:ind w:left="720"/>
        <w:rPr>
          <w:rFonts w:asciiTheme="minorHAnsi" w:hAnsiTheme="minorHAnsi"/>
          <w:sz w:val="22"/>
          <w:szCs w:val="22"/>
        </w:rPr>
      </w:pPr>
    </w:p>
    <w:p w:rsidR="00EE5E17" w:rsidRDefault="00385C4F" w:rsidP="00385C4F">
      <w:pPr>
        <w:pStyle w:val="CommentTex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note consideration will also be given to applicants</w:t>
      </w:r>
      <w:r w:rsidR="00B76BA9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 i</w:t>
      </w:r>
      <w:r w:rsidR="00EE5E17" w:rsidRPr="007A46B6">
        <w:rPr>
          <w:rFonts w:asciiTheme="minorHAnsi" w:hAnsiTheme="minorHAnsi"/>
          <w:sz w:val="22"/>
          <w:szCs w:val="22"/>
        </w:rPr>
        <w:t>nvolve</w:t>
      </w:r>
      <w:r>
        <w:rPr>
          <w:rFonts w:asciiTheme="minorHAnsi" w:hAnsiTheme="minorHAnsi"/>
          <w:sz w:val="22"/>
          <w:szCs w:val="22"/>
        </w:rPr>
        <w:t xml:space="preserve">ment </w:t>
      </w:r>
      <w:r w:rsidR="00EE5E17" w:rsidRPr="007A46B6">
        <w:rPr>
          <w:rFonts w:asciiTheme="minorHAnsi" w:hAnsiTheme="minorHAnsi"/>
          <w:sz w:val="22"/>
          <w:szCs w:val="22"/>
        </w:rPr>
        <w:t xml:space="preserve"> in various C</w:t>
      </w:r>
      <w:r w:rsidR="000A6998">
        <w:rPr>
          <w:rFonts w:asciiTheme="minorHAnsi" w:hAnsiTheme="minorHAnsi"/>
          <w:sz w:val="22"/>
          <w:szCs w:val="22"/>
        </w:rPr>
        <w:t xml:space="preserve">atherine </w:t>
      </w:r>
      <w:r w:rsidR="00EE5E17" w:rsidRPr="007A46B6">
        <w:rPr>
          <w:rFonts w:asciiTheme="minorHAnsi" w:hAnsiTheme="minorHAnsi"/>
          <w:sz w:val="22"/>
          <w:szCs w:val="22"/>
        </w:rPr>
        <w:t>H</w:t>
      </w:r>
      <w:r w:rsidR="000A6998">
        <w:rPr>
          <w:rFonts w:asciiTheme="minorHAnsi" w:hAnsiTheme="minorHAnsi"/>
          <w:sz w:val="22"/>
          <w:szCs w:val="22"/>
        </w:rPr>
        <w:t>ouse</w:t>
      </w:r>
      <w:r w:rsidR="00EE5E17" w:rsidRPr="007A46B6">
        <w:rPr>
          <w:rFonts w:asciiTheme="minorHAnsi" w:hAnsiTheme="minorHAnsi"/>
          <w:sz w:val="22"/>
          <w:szCs w:val="22"/>
        </w:rPr>
        <w:t xml:space="preserve"> activities and programs such as speaking </w:t>
      </w:r>
      <w:r w:rsidR="000A6998">
        <w:rPr>
          <w:rFonts w:asciiTheme="minorHAnsi" w:hAnsiTheme="minorHAnsi"/>
          <w:sz w:val="22"/>
          <w:szCs w:val="22"/>
        </w:rPr>
        <w:t>to</w:t>
      </w:r>
      <w:r w:rsidR="00EE5E17" w:rsidRPr="007A46B6">
        <w:rPr>
          <w:rFonts w:asciiTheme="minorHAnsi" w:hAnsiTheme="minorHAnsi"/>
          <w:sz w:val="22"/>
          <w:szCs w:val="22"/>
        </w:rPr>
        <w:t xml:space="preserve"> school </w:t>
      </w:r>
      <w:r w:rsidR="000A6998">
        <w:rPr>
          <w:rFonts w:asciiTheme="minorHAnsi" w:hAnsiTheme="minorHAnsi"/>
          <w:sz w:val="22"/>
          <w:szCs w:val="22"/>
        </w:rPr>
        <w:t xml:space="preserve">or other stakeholder </w:t>
      </w:r>
      <w:r w:rsidR="00EE5E17" w:rsidRPr="007A46B6">
        <w:rPr>
          <w:rFonts w:asciiTheme="minorHAnsi" w:hAnsiTheme="minorHAnsi"/>
          <w:sz w:val="22"/>
          <w:szCs w:val="22"/>
        </w:rPr>
        <w:t>groups, representing clients in meetings, pa</w:t>
      </w:r>
      <w:r w:rsidR="00A179D1">
        <w:rPr>
          <w:rFonts w:asciiTheme="minorHAnsi" w:hAnsiTheme="minorHAnsi"/>
          <w:sz w:val="22"/>
          <w:szCs w:val="22"/>
        </w:rPr>
        <w:t>rticipating in promotion for C</w:t>
      </w:r>
      <w:r w:rsidR="000A6998">
        <w:rPr>
          <w:rFonts w:asciiTheme="minorHAnsi" w:hAnsiTheme="minorHAnsi"/>
          <w:sz w:val="22"/>
          <w:szCs w:val="22"/>
        </w:rPr>
        <w:t>atherine House</w:t>
      </w:r>
      <w:r w:rsidR="00A179D1">
        <w:rPr>
          <w:rFonts w:asciiTheme="minorHAnsi" w:hAnsiTheme="minorHAnsi"/>
          <w:sz w:val="22"/>
          <w:szCs w:val="22"/>
        </w:rPr>
        <w:t xml:space="preserve">, </w:t>
      </w:r>
      <w:r w:rsidR="00CD38AC">
        <w:rPr>
          <w:rFonts w:asciiTheme="minorHAnsi" w:hAnsiTheme="minorHAnsi"/>
          <w:sz w:val="22"/>
          <w:szCs w:val="22"/>
        </w:rPr>
        <w:t xml:space="preserve">1:1 </w:t>
      </w:r>
      <w:r w:rsidR="00223D59">
        <w:rPr>
          <w:rFonts w:asciiTheme="minorHAnsi" w:hAnsiTheme="minorHAnsi"/>
          <w:sz w:val="22"/>
          <w:szCs w:val="22"/>
        </w:rPr>
        <w:t>mentoring program</w:t>
      </w:r>
      <w:r w:rsidR="00A179D1">
        <w:rPr>
          <w:rFonts w:asciiTheme="minorHAnsi" w:hAnsiTheme="minorHAnsi"/>
          <w:sz w:val="22"/>
          <w:szCs w:val="22"/>
        </w:rPr>
        <w:t xml:space="preserve"> or the Client Advisory Group (CAG)</w:t>
      </w:r>
      <w:r w:rsidR="00223D59">
        <w:rPr>
          <w:rFonts w:asciiTheme="minorHAnsi" w:hAnsiTheme="minorHAnsi"/>
          <w:sz w:val="22"/>
          <w:szCs w:val="22"/>
        </w:rPr>
        <w:t xml:space="preserve">*. </w:t>
      </w:r>
    </w:p>
    <w:p w:rsidR="00EE5E17" w:rsidRPr="007A46B6" w:rsidRDefault="00EE5E17" w:rsidP="00EE5E17">
      <w:pPr>
        <w:pStyle w:val="CommentText"/>
        <w:rPr>
          <w:rFonts w:asciiTheme="minorHAnsi" w:hAnsiTheme="minorHAnsi"/>
          <w:sz w:val="22"/>
          <w:szCs w:val="22"/>
        </w:rPr>
      </w:pPr>
    </w:p>
    <w:p w:rsidR="00EE5E17" w:rsidRPr="007A46B6" w:rsidRDefault="00EE5E17" w:rsidP="00EE5E17">
      <w:pPr>
        <w:pStyle w:val="CommentText"/>
        <w:ind w:firstLine="720"/>
        <w:rPr>
          <w:rFonts w:asciiTheme="minorHAnsi" w:hAnsiTheme="minorHAnsi"/>
          <w:sz w:val="22"/>
          <w:szCs w:val="22"/>
        </w:rPr>
      </w:pPr>
      <w:r w:rsidRPr="007A46B6">
        <w:rPr>
          <w:rFonts w:asciiTheme="minorHAnsi" w:hAnsiTheme="minorHAnsi"/>
          <w:sz w:val="22"/>
          <w:szCs w:val="22"/>
        </w:rPr>
        <w:t>*The Scholarship coordinator will assess each individual</w:t>
      </w:r>
      <w:r>
        <w:rPr>
          <w:rFonts w:asciiTheme="minorHAnsi" w:hAnsiTheme="minorHAnsi"/>
          <w:sz w:val="22"/>
          <w:szCs w:val="22"/>
        </w:rPr>
        <w:t>’</w:t>
      </w:r>
      <w:r w:rsidRPr="007A46B6">
        <w:rPr>
          <w:rFonts w:asciiTheme="minorHAnsi" w:hAnsiTheme="minorHAnsi"/>
          <w:sz w:val="22"/>
          <w:szCs w:val="22"/>
        </w:rPr>
        <w:t>s eligibility</w:t>
      </w:r>
      <w:r>
        <w:rPr>
          <w:rFonts w:asciiTheme="minorHAnsi" w:hAnsiTheme="minorHAnsi"/>
          <w:sz w:val="22"/>
          <w:szCs w:val="22"/>
        </w:rPr>
        <w:t>.</w:t>
      </w:r>
    </w:p>
    <w:p w:rsidR="00EE5E17" w:rsidRPr="007A46B6" w:rsidRDefault="00EE5E17" w:rsidP="00EE5E17">
      <w:pPr>
        <w:pStyle w:val="Default"/>
        <w:outlineLvl w:val="0"/>
        <w:rPr>
          <w:rFonts w:asciiTheme="minorHAnsi" w:hAnsiTheme="minorHAnsi" w:cs="Arial"/>
          <w:b/>
          <w:color w:val="1D1B11"/>
          <w:sz w:val="22"/>
          <w:szCs w:val="22"/>
        </w:rPr>
      </w:pPr>
    </w:p>
    <w:p w:rsidR="00EE5E17" w:rsidRPr="000A4403" w:rsidRDefault="00EE5E17" w:rsidP="00EE5E17">
      <w:pPr>
        <w:pStyle w:val="Default"/>
        <w:outlineLvl w:val="0"/>
        <w:rPr>
          <w:rFonts w:asciiTheme="minorHAnsi" w:hAnsiTheme="minorHAnsi" w:cs="Arial"/>
          <w:b/>
          <w:color w:val="1D1B11"/>
          <w:sz w:val="22"/>
          <w:szCs w:val="22"/>
        </w:rPr>
      </w:pPr>
      <w:r w:rsidRPr="000A4403">
        <w:rPr>
          <w:rFonts w:asciiTheme="minorHAnsi" w:hAnsiTheme="minorHAnsi" w:cs="Arial"/>
          <w:b/>
          <w:color w:val="1D1B11"/>
          <w:sz w:val="22"/>
          <w:szCs w:val="22"/>
        </w:rPr>
        <w:lastRenderedPageBreak/>
        <w:t xml:space="preserve">Other requirements include:  </w:t>
      </w:r>
    </w:p>
    <w:p w:rsidR="00EE5E17" w:rsidRPr="007A46B6" w:rsidRDefault="00EE5E17" w:rsidP="00EE5E1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Applicants must be Australian citizens or permanent residents. </w:t>
      </w:r>
    </w:p>
    <w:p w:rsidR="00EE5E17" w:rsidRPr="007A46B6" w:rsidRDefault="00EE5E17" w:rsidP="00EE5E1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>Applicants must be an undergraduate or postgraduate student</w:t>
      </w:r>
      <w:r w:rsidRPr="007A46B6">
        <w:rPr>
          <w:rFonts w:asciiTheme="minorHAnsi" w:hAnsiTheme="minorHAnsi" w:cs="Arial"/>
          <w:sz w:val="22"/>
          <w:szCs w:val="22"/>
        </w:rPr>
        <w:t>.</w:t>
      </w: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  </w:t>
      </w:r>
    </w:p>
    <w:p w:rsidR="00EE5E17" w:rsidRPr="007A46B6" w:rsidRDefault="00EE5E17" w:rsidP="00EE5E1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Applicants must be a commencing or continuing student. </w:t>
      </w:r>
    </w:p>
    <w:p w:rsidR="00EE5E17" w:rsidRPr="007A46B6" w:rsidRDefault="00EE5E17" w:rsidP="00EE5E1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Applicants must be prepared to submit a personal written statement detailing any previous study and anticipated benefits of undertaking further education at UniSA or UniSA College. </w:t>
      </w:r>
    </w:p>
    <w:p w:rsidR="00EE5E17" w:rsidRPr="007A46B6" w:rsidRDefault="00EE5E17" w:rsidP="00EE5E1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Applicants must be prepared to attend an interview if required. </w:t>
      </w:r>
    </w:p>
    <w:p w:rsidR="00EE5E17" w:rsidRPr="007A46B6" w:rsidRDefault="00EE5E17" w:rsidP="00EE5E17">
      <w:pPr>
        <w:pStyle w:val="Defaul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>Recipients will be selected on the basis of a personal written statement and an interview.</w:t>
      </w:r>
    </w:p>
    <w:p w:rsidR="00EE5E17" w:rsidRPr="007A46B6" w:rsidRDefault="00EE5E17" w:rsidP="00EE5E17">
      <w:pPr>
        <w:pStyle w:val="Default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t xml:space="preserve"> </w:t>
      </w:r>
    </w:p>
    <w:p w:rsidR="00EE5E17" w:rsidRPr="007A46B6" w:rsidRDefault="00EE5E17" w:rsidP="00EE5E17">
      <w:pPr>
        <w:pStyle w:val="Default"/>
        <w:outlineLvl w:val="0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b/>
          <w:bCs/>
          <w:sz w:val="22"/>
          <w:szCs w:val="22"/>
        </w:rPr>
        <w:t xml:space="preserve">Payment </w:t>
      </w:r>
    </w:p>
    <w:p w:rsidR="00EE5E17" w:rsidRPr="007A46B6" w:rsidRDefault="00EE5E17" w:rsidP="00EE5E1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>The scholarship is valued at up to $10,000 which is apportioned over the life of an agreed program of study. Payment will be made directly to the scholarship recipient twice yearly</w:t>
      </w:r>
      <w:r>
        <w:rPr>
          <w:rFonts w:asciiTheme="minorHAnsi" w:hAnsiTheme="minorHAnsi" w:cs="Arial"/>
          <w:color w:val="1D1B11"/>
          <w:sz w:val="22"/>
          <w:szCs w:val="22"/>
        </w:rPr>
        <w:t xml:space="preserve">, with the </w:t>
      </w: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first payment </w:t>
      </w:r>
      <w:r>
        <w:rPr>
          <w:rFonts w:asciiTheme="minorHAnsi" w:hAnsiTheme="minorHAnsi" w:cs="Arial"/>
          <w:color w:val="1D1B11"/>
          <w:sz w:val="22"/>
          <w:szCs w:val="22"/>
        </w:rPr>
        <w:t>made a</w:t>
      </w:r>
      <w:r w:rsidRPr="007A46B6">
        <w:rPr>
          <w:rFonts w:asciiTheme="minorHAnsi" w:hAnsiTheme="minorHAnsi" w:cs="Arial"/>
          <w:color w:val="1D1B11"/>
          <w:sz w:val="22"/>
          <w:szCs w:val="22"/>
        </w:rPr>
        <w:t>fter the census date (31 March).</w:t>
      </w:r>
    </w:p>
    <w:p w:rsidR="00EE5E17" w:rsidRPr="007A46B6" w:rsidRDefault="00EE5E17" w:rsidP="00EE5E17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E5E17" w:rsidRPr="007A46B6" w:rsidRDefault="00EE5E17" w:rsidP="00EE5E17">
      <w:pPr>
        <w:pStyle w:val="Default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b/>
          <w:bCs/>
          <w:sz w:val="22"/>
          <w:szCs w:val="22"/>
        </w:rPr>
        <w:t xml:space="preserve">Conditions for ongoing eligibility of the scholarship </w:t>
      </w:r>
      <w:r w:rsidRPr="007A46B6">
        <w:rPr>
          <w:rFonts w:asciiTheme="minorHAnsi" w:hAnsiTheme="minorHAnsi" w:cs="Arial"/>
          <w:sz w:val="22"/>
          <w:szCs w:val="22"/>
        </w:rPr>
        <w:t xml:space="preserve"> </w:t>
      </w:r>
    </w:p>
    <w:p w:rsidR="00EE5E17" w:rsidRPr="007A46B6" w:rsidRDefault="00EE5E17" w:rsidP="00EE5E17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>Recipients must demonstrate satisfactory academic performance to continue to receive the scholarship</w:t>
      </w:r>
    </w:p>
    <w:p w:rsidR="00EE5E17" w:rsidRPr="007A46B6" w:rsidRDefault="00EE5E17" w:rsidP="00EE5E17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Recipients will be required to provide peer support to other clients of Catherine House. </w:t>
      </w:r>
      <w:r w:rsidRPr="007A46B6">
        <w:rPr>
          <w:rFonts w:asciiTheme="minorHAnsi" w:hAnsiTheme="minorHAnsi" w:cs="Arial"/>
          <w:sz w:val="22"/>
          <w:szCs w:val="22"/>
        </w:rPr>
        <w:t xml:space="preserve"> </w:t>
      </w:r>
    </w:p>
    <w:p w:rsidR="00EE5E17" w:rsidRPr="007A46B6" w:rsidRDefault="00EE5E17" w:rsidP="00906A8E">
      <w:pPr>
        <w:pStyle w:val="Default"/>
        <w:jc w:val="both"/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 </w:t>
      </w:r>
      <w:r w:rsidRPr="007A46B6">
        <w:rPr>
          <w:rFonts w:asciiTheme="minorHAnsi" w:hAnsiTheme="minorHAnsi" w:cs="Arial"/>
          <w:b/>
          <w:bCs/>
          <w:color w:val="1D1B11"/>
          <w:sz w:val="22"/>
          <w:szCs w:val="22"/>
        </w:rPr>
        <w:t xml:space="preserve">Notes </w:t>
      </w:r>
    </w:p>
    <w:p w:rsidR="00EE5E17" w:rsidRPr="007A46B6" w:rsidRDefault="00EE5E17" w:rsidP="00EE5E17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The scholarship may be counted as income against Youth Allowance or other forms of Government assistance payments. Applicants should seek independent financial advice.  </w:t>
      </w:r>
    </w:p>
    <w:p w:rsidR="00EE5E17" w:rsidRPr="007A46B6" w:rsidRDefault="00EE5E17" w:rsidP="00EE5E17">
      <w:pPr>
        <w:pStyle w:val="Default"/>
        <w:jc w:val="both"/>
        <w:rPr>
          <w:rFonts w:asciiTheme="minorHAnsi" w:hAnsiTheme="minorHAnsi" w:cs="Arial"/>
          <w:color w:val="1D1B11"/>
          <w:sz w:val="22"/>
          <w:szCs w:val="22"/>
        </w:rPr>
      </w:pPr>
    </w:p>
    <w:p w:rsidR="00EE5E17" w:rsidRPr="007A46B6" w:rsidRDefault="00EE5E17" w:rsidP="00906A8E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b/>
          <w:bCs/>
          <w:sz w:val="22"/>
          <w:szCs w:val="22"/>
        </w:rPr>
        <w:t xml:space="preserve">Lodgement Details and Closing Dates </w:t>
      </w:r>
      <w:r w:rsidRPr="007A46B6">
        <w:rPr>
          <w:rFonts w:asciiTheme="minorHAnsi" w:hAnsiTheme="minorHAnsi" w:cs="Arial"/>
          <w:sz w:val="22"/>
          <w:szCs w:val="22"/>
        </w:rPr>
        <w:t xml:space="preserve"> </w:t>
      </w:r>
    </w:p>
    <w:p w:rsidR="00EE5E17" w:rsidRPr="007A46B6" w:rsidRDefault="00EE5E17" w:rsidP="00EE5E1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t xml:space="preserve">It is important to submit all relevant documentary evidence to support your application. Failure to do so will mean that the application will not be considered.  </w:t>
      </w:r>
    </w:p>
    <w:p w:rsidR="00EE5E17" w:rsidRPr="007A46B6" w:rsidRDefault="00EE5E17" w:rsidP="00EE5E17">
      <w:pPr>
        <w:pStyle w:val="Default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t xml:space="preserve"> </w:t>
      </w:r>
    </w:p>
    <w:p w:rsidR="00EE5E17" w:rsidRPr="007A46B6" w:rsidRDefault="00EE5E17" w:rsidP="00EE5E17">
      <w:pPr>
        <w:pStyle w:val="Default"/>
        <w:outlineLvl w:val="0"/>
        <w:rPr>
          <w:rFonts w:asciiTheme="minorHAnsi" w:hAnsiTheme="minorHAnsi" w:cs="Arial"/>
          <w:b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b/>
          <w:color w:val="1D1B11"/>
          <w:sz w:val="22"/>
          <w:szCs w:val="22"/>
        </w:rPr>
        <w:t xml:space="preserve">The application with supporting documentation should be returned by </w:t>
      </w:r>
      <w:r w:rsidRPr="007A46B6">
        <w:rPr>
          <w:rFonts w:asciiTheme="minorHAnsi" w:hAnsiTheme="minorHAnsi" w:cs="Arial"/>
          <w:b/>
          <w:bCs/>
          <w:color w:val="1D1B11"/>
          <w:sz w:val="22"/>
          <w:szCs w:val="22"/>
        </w:rPr>
        <w:t>COB on 24 November 2017</w:t>
      </w:r>
      <w:r w:rsidRPr="007A46B6">
        <w:rPr>
          <w:rFonts w:asciiTheme="minorHAnsi" w:hAnsiTheme="minorHAnsi" w:cs="Arial"/>
          <w:b/>
          <w:color w:val="1D1B11"/>
          <w:sz w:val="22"/>
          <w:szCs w:val="22"/>
        </w:rPr>
        <w:t xml:space="preserve"> to:  </w:t>
      </w:r>
    </w:p>
    <w:p w:rsidR="00EE5E17" w:rsidRPr="007A46B6" w:rsidRDefault="00EE5E17" w:rsidP="00EE5E17">
      <w:pPr>
        <w:pStyle w:val="Default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t xml:space="preserve"> </w:t>
      </w:r>
    </w:p>
    <w:p w:rsidR="00EE5E17" w:rsidRPr="007A46B6" w:rsidRDefault="00EE5E17" w:rsidP="00EE5E17">
      <w:pPr>
        <w:pStyle w:val="Default"/>
        <w:ind w:right="-627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lastRenderedPageBreak/>
        <w:t xml:space="preserve">The Kym Adey Catherine House-UniSA Scholarship </w:t>
      </w:r>
    </w:p>
    <w:p w:rsidR="00EE5E17" w:rsidRPr="007A46B6" w:rsidRDefault="00EE5E17" w:rsidP="00EE5E17">
      <w:pPr>
        <w:pStyle w:val="Default"/>
        <w:ind w:right="-627"/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>Ms Catherine Sarah</w:t>
      </w:r>
    </w:p>
    <w:p w:rsidR="00EE5E17" w:rsidRPr="007A46B6" w:rsidRDefault="00EE5E17" w:rsidP="00EE5E17">
      <w:pPr>
        <w:pStyle w:val="Default"/>
        <w:ind w:right="-627"/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>Catherine House</w:t>
      </w:r>
    </w:p>
    <w:p w:rsidR="00EE5E17" w:rsidRPr="007A46B6" w:rsidRDefault="00EE5E17" w:rsidP="00EE5E17">
      <w:pPr>
        <w:pStyle w:val="Default"/>
        <w:ind w:right="-627"/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PO Box 6031 Halifax Street  </w:t>
      </w:r>
    </w:p>
    <w:p w:rsidR="00EE5E17" w:rsidRPr="007A46B6" w:rsidRDefault="00EE5E17" w:rsidP="00EE5E17">
      <w:pPr>
        <w:pStyle w:val="Default"/>
        <w:ind w:right="-769"/>
        <w:rPr>
          <w:rFonts w:asciiTheme="minorHAnsi" w:hAnsiTheme="minorHAnsi" w:cs="Arial"/>
          <w:color w:val="1D1B11"/>
          <w:sz w:val="22"/>
          <w:szCs w:val="22"/>
        </w:rPr>
      </w:pPr>
      <w:r w:rsidRPr="007A46B6">
        <w:rPr>
          <w:rFonts w:asciiTheme="minorHAnsi" w:hAnsiTheme="minorHAnsi" w:cs="Arial"/>
          <w:color w:val="1D1B11"/>
          <w:sz w:val="22"/>
          <w:szCs w:val="22"/>
        </w:rPr>
        <w:t xml:space="preserve">ADELAIDE SA 5000  </w:t>
      </w:r>
    </w:p>
    <w:p w:rsidR="00EE5E17" w:rsidRDefault="00EE5E17" w:rsidP="00EE5E17">
      <w:pPr>
        <w:pStyle w:val="Default"/>
        <w:ind w:right="-627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EE5E17" w:rsidRPr="007A46B6" w:rsidRDefault="00EE5E17" w:rsidP="00EE5E17">
      <w:pPr>
        <w:pStyle w:val="Default"/>
        <w:ind w:right="-627"/>
        <w:outlineLvl w:val="0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b/>
          <w:sz w:val="22"/>
          <w:szCs w:val="22"/>
        </w:rPr>
        <w:t xml:space="preserve">Further information is available from: </w:t>
      </w:r>
    </w:p>
    <w:p w:rsidR="00EE5E17" w:rsidRPr="007A46B6" w:rsidRDefault="00EE5E17" w:rsidP="00EE5E17">
      <w:pPr>
        <w:pStyle w:val="Default"/>
        <w:ind w:right="-627"/>
        <w:outlineLvl w:val="0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t>Ms Catherine Sarah</w:t>
      </w:r>
    </w:p>
    <w:p w:rsidR="00F14256" w:rsidRDefault="00F14256" w:rsidP="00EE5E17">
      <w:pPr>
        <w:pStyle w:val="Default"/>
        <w:ind w:right="-62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Education Coach </w:t>
      </w:r>
    </w:p>
    <w:p w:rsidR="00EE5E17" w:rsidRPr="007A46B6" w:rsidRDefault="00EE5E17" w:rsidP="00EE5E17">
      <w:pPr>
        <w:pStyle w:val="Default"/>
        <w:ind w:right="-627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t>Catherine House</w:t>
      </w:r>
    </w:p>
    <w:p w:rsidR="00EE5E17" w:rsidRPr="007A46B6" w:rsidRDefault="00EE5E17" w:rsidP="00EE5E17">
      <w:pPr>
        <w:pStyle w:val="Default"/>
        <w:ind w:right="-627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t xml:space="preserve">Tel: (08) 8232 2282 </w:t>
      </w:r>
    </w:p>
    <w:p w:rsidR="009D32A3" w:rsidRDefault="00EE5E17" w:rsidP="00906A8E">
      <w:pPr>
        <w:pStyle w:val="Default"/>
        <w:ind w:right="-627"/>
      </w:pPr>
      <w:r w:rsidRPr="007A46B6">
        <w:rPr>
          <w:rFonts w:asciiTheme="minorHAnsi" w:hAnsiTheme="minorHAnsi" w:cs="Arial"/>
          <w:sz w:val="22"/>
          <w:szCs w:val="22"/>
        </w:rPr>
        <w:t xml:space="preserve">Email: </w:t>
      </w:r>
      <w:r>
        <w:rPr>
          <w:rFonts w:asciiTheme="minorHAnsi" w:hAnsiTheme="minorHAnsi" w:cs="Arial"/>
          <w:sz w:val="22"/>
          <w:szCs w:val="22"/>
        </w:rPr>
        <w:t>edemp@catherinehouse.org</w:t>
      </w:r>
      <w:r w:rsidR="00906A8E">
        <w:rPr>
          <w:rFonts w:asciiTheme="minorHAnsi" w:hAnsiTheme="minorHAnsi" w:cs="Arial"/>
          <w:sz w:val="22"/>
          <w:szCs w:val="22"/>
        </w:rPr>
        <w:t>.au</w:t>
      </w:r>
    </w:p>
    <w:sectPr w:rsidR="009D32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95" w:rsidRDefault="004D5D95" w:rsidP="00906A8E">
      <w:r>
        <w:separator/>
      </w:r>
    </w:p>
  </w:endnote>
  <w:endnote w:type="continuationSeparator" w:id="0">
    <w:p w:rsidR="004D5D95" w:rsidRDefault="004D5D95" w:rsidP="0090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8E" w:rsidRDefault="00906A8E" w:rsidP="00906A8E">
    <w:pPr>
      <w:pStyle w:val="Footer"/>
      <w:pBdr>
        <w:top w:val="single" w:sz="4" w:space="1" w:color="auto"/>
      </w:pBdr>
    </w:pPr>
    <w:r>
      <w:t>Kym Adey Scholarship Information Sheet                         Updated July 2017</w:t>
    </w:r>
  </w:p>
  <w:p w:rsidR="00906A8E" w:rsidRDefault="00906A8E">
    <w:pPr>
      <w:pStyle w:val="Footer"/>
    </w:pPr>
    <w:r>
      <w:t>Allied to the CH Kym Adey Scholarship Procedure     Filed in Policy Section 1.1 Service Delivery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95" w:rsidRDefault="004D5D95" w:rsidP="00906A8E">
      <w:r>
        <w:separator/>
      </w:r>
    </w:p>
  </w:footnote>
  <w:footnote w:type="continuationSeparator" w:id="0">
    <w:p w:rsidR="004D5D95" w:rsidRDefault="004D5D95" w:rsidP="0090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93302"/>
    <w:multiLevelType w:val="hybridMultilevel"/>
    <w:tmpl w:val="3140D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17759"/>
    <w:multiLevelType w:val="hybridMultilevel"/>
    <w:tmpl w:val="C65A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D1F3D"/>
    <w:multiLevelType w:val="hybridMultilevel"/>
    <w:tmpl w:val="4FF02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56B8B"/>
    <w:multiLevelType w:val="hybridMultilevel"/>
    <w:tmpl w:val="16C60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8A"/>
    <w:rsid w:val="000A6998"/>
    <w:rsid w:val="001F493E"/>
    <w:rsid w:val="00223D59"/>
    <w:rsid w:val="002638AC"/>
    <w:rsid w:val="00385C4F"/>
    <w:rsid w:val="004D3968"/>
    <w:rsid w:val="004D5D95"/>
    <w:rsid w:val="0081578A"/>
    <w:rsid w:val="00863AF6"/>
    <w:rsid w:val="00906A8E"/>
    <w:rsid w:val="009A2CEC"/>
    <w:rsid w:val="009A4EB9"/>
    <w:rsid w:val="00A179D1"/>
    <w:rsid w:val="00AF1C28"/>
    <w:rsid w:val="00B76BA9"/>
    <w:rsid w:val="00CD38AC"/>
    <w:rsid w:val="00E341EE"/>
    <w:rsid w:val="00EE5E17"/>
    <w:rsid w:val="00F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484C1-D228-4556-A711-8EE51DE3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E5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EE5E17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EE5E17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17"/>
    <w:rPr>
      <w:rFonts w:ascii="Calibri" w:eastAsia="Times New Roman" w:hAnsi="Calibri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0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A8E"/>
    <w:rPr>
      <w:rFonts w:ascii="Calibri" w:eastAsia="Times New Roman" w:hAnsi="Calibri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0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A8E"/>
    <w:rPr>
      <w:rFonts w:ascii="Calibri" w:eastAsia="Times New Roman" w:hAnsi="Calibri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Geraldine Mendoza</cp:lastModifiedBy>
  <cp:revision>2</cp:revision>
  <dcterms:created xsi:type="dcterms:W3CDTF">2017-08-17T07:42:00Z</dcterms:created>
  <dcterms:modified xsi:type="dcterms:W3CDTF">2017-08-17T07:42:00Z</dcterms:modified>
</cp:coreProperties>
</file>